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DB" w:rsidRPr="00634ED5" w:rsidRDefault="00A126DB" w:rsidP="00A126DB">
      <w:pPr>
        <w:pStyle w:val="Heading2"/>
        <w:rPr>
          <w:rFonts w:asciiTheme="majorBidi" w:hAnsiTheme="majorBidi" w:cs="B Nazanin"/>
          <w:sz w:val="22"/>
          <w:szCs w:val="22"/>
          <w:rtl/>
        </w:rPr>
      </w:pPr>
      <w:r w:rsidRPr="00634ED5">
        <w:rPr>
          <w:rFonts w:asciiTheme="majorBidi" w:hAnsiTheme="majorBidi" w:cs="B Nazanin"/>
          <w:sz w:val="22"/>
          <w:szCs w:val="22"/>
          <w:rtl/>
        </w:rPr>
        <w:t>بسمه تعالي</w:t>
      </w:r>
    </w:p>
    <w:p w:rsidR="00A126DB" w:rsidRPr="00634ED5" w:rsidRDefault="00A126DB" w:rsidP="00A126DB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i/>
          <w:iCs/>
          <w:rtl/>
          <w:lang w:bidi="fa-IR"/>
        </w:rPr>
      </w:pPr>
      <w:r w:rsidRPr="00634ED5">
        <w:rPr>
          <w:rFonts w:asciiTheme="majorBidi" w:hAnsiTheme="majorBidi" w:cs="B Nazanin"/>
          <w:b/>
          <w:bCs/>
          <w:rtl/>
        </w:rPr>
        <w:t>(طرح درس يك ترم</w:t>
      </w:r>
      <w:r w:rsidRPr="00634ED5">
        <w:rPr>
          <w:rFonts w:asciiTheme="majorBidi" w:hAnsiTheme="majorBidi" w:cs="B Nazanin"/>
          <w:b/>
          <w:bCs/>
          <w:rtl/>
          <w:lang w:bidi="fa-IR"/>
        </w:rPr>
        <w:t>- نيمسال</w:t>
      </w:r>
      <w:r w:rsidRPr="00634ED5">
        <w:rPr>
          <w:rFonts w:asciiTheme="majorBidi" w:hAnsiTheme="majorBidi" w:cs="B Nazanin" w:hint="cs"/>
          <w:b/>
          <w:bCs/>
          <w:rtl/>
          <w:lang w:bidi="fa-IR"/>
        </w:rPr>
        <w:t xml:space="preserve"> دوم</w:t>
      </w:r>
      <w:r w:rsidRPr="00634ED5">
        <w:rPr>
          <w:rFonts w:asciiTheme="majorBidi" w:hAnsiTheme="majorBidi" w:cs="B Nazanin"/>
          <w:b/>
          <w:bCs/>
          <w:rtl/>
          <w:lang w:bidi="fa-IR"/>
        </w:rPr>
        <w:t xml:space="preserve"> سال تحصيلي </w:t>
      </w:r>
      <w:r>
        <w:rPr>
          <w:rFonts w:asciiTheme="majorBidi" w:hAnsiTheme="majorBidi" w:cs="B Nazanin" w:hint="cs"/>
          <w:b/>
          <w:bCs/>
          <w:rtl/>
          <w:lang w:bidi="fa-IR"/>
        </w:rPr>
        <w:t>97-96</w:t>
      </w:r>
      <w:r w:rsidRPr="00634ED5">
        <w:rPr>
          <w:rFonts w:asciiTheme="majorBidi" w:hAnsiTheme="majorBidi" w:cs="B Nazanin"/>
          <w:b/>
          <w:bCs/>
          <w:i/>
          <w:iCs/>
          <w:rtl/>
        </w:rPr>
        <w:t>)</w:t>
      </w:r>
    </w:p>
    <w:p w:rsidR="00A126DB" w:rsidRPr="00634ED5" w:rsidRDefault="00A126DB" w:rsidP="00A126DB">
      <w:pPr>
        <w:bidi/>
        <w:spacing w:after="0" w:line="240" w:lineRule="auto"/>
        <w:jc w:val="lowKashida"/>
        <w:rPr>
          <w:rFonts w:asciiTheme="majorBidi" w:hAnsiTheme="majorBidi" w:cs="B Nazanin"/>
          <w:rtl/>
          <w:lang w:bidi="fa-IR"/>
        </w:rPr>
      </w:pPr>
      <w:r w:rsidRPr="00634ED5">
        <w:rPr>
          <w:rFonts w:asciiTheme="majorBidi" w:hAnsiTheme="majorBidi" w:cs="B Nazanin"/>
          <w:b/>
          <w:bCs/>
          <w:rtl/>
        </w:rPr>
        <w:t>گروه آموزشي :</w:t>
      </w:r>
      <w:r w:rsidRPr="00634ED5">
        <w:rPr>
          <w:rFonts w:asciiTheme="majorBidi" w:hAnsiTheme="majorBidi" w:cs="B Nazanin"/>
          <w:rtl/>
        </w:rPr>
        <w:t xml:space="preserve"> ايمونولوژي </w:t>
      </w:r>
      <w:r w:rsidRPr="00634ED5">
        <w:rPr>
          <w:rFonts w:asciiTheme="majorBidi" w:hAnsiTheme="majorBidi" w:cs="B Nazanin"/>
          <w:rtl/>
        </w:rPr>
        <w:tab/>
      </w:r>
      <w:r w:rsidRPr="00634ED5">
        <w:rPr>
          <w:rFonts w:asciiTheme="majorBidi" w:hAnsiTheme="majorBidi" w:cs="B Nazanin"/>
          <w:rtl/>
          <w:lang w:bidi="fa-IR"/>
        </w:rPr>
        <w:tab/>
      </w:r>
      <w:r w:rsidRPr="00634ED5">
        <w:rPr>
          <w:rFonts w:asciiTheme="majorBidi" w:hAnsiTheme="majorBidi" w:cs="B Nazanin"/>
          <w:rtl/>
          <w:lang w:bidi="fa-IR"/>
        </w:rPr>
        <w:tab/>
        <w:t xml:space="preserve">   </w:t>
      </w:r>
      <w:r w:rsidRPr="00634ED5">
        <w:rPr>
          <w:rFonts w:asciiTheme="majorBidi" w:hAnsiTheme="majorBidi" w:cs="B Nazanin"/>
          <w:b/>
          <w:bCs/>
          <w:rtl/>
          <w:lang w:bidi="fa-IR"/>
        </w:rPr>
        <w:t xml:space="preserve">   </w:t>
      </w:r>
      <w:r w:rsidRPr="00634ED5">
        <w:rPr>
          <w:rFonts w:asciiTheme="majorBidi" w:hAnsiTheme="majorBidi" w:cs="B Nazanin"/>
          <w:b/>
          <w:bCs/>
          <w:rtl/>
          <w:lang w:bidi="fa-IR"/>
        </w:rPr>
        <w:tab/>
        <w:t xml:space="preserve">        </w:t>
      </w:r>
      <w:r w:rsidRPr="00634ED5">
        <w:rPr>
          <w:rFonts w:asciiTheme="majorBidi" w:hAnsiTheme="majorBidi" w:cs="B Nazanin"/>
          <w:b/>
          <w:bCs/>
          <w:rtl/>
        </w:rPr>
        <w:t>شماره درس :</w:t>
      </w:r>
      <w:r w:rsidRPr="00634ED5">
        <w:rPr>
          <w:rFonts w:asciiTheme="majorBidi" w:hAnsiTheme="majorBidi" w:cs="B Nazanin"/>
          <w:rtl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>132410</w:t>
      </w:r>
    </w:p>
    <w:p w:rsidR="00A126DB" w:rsidRPr="00634ED5" w:rsidRDefault="00A126DB" w:rsidP="00A32E83">
      <w:pPr>
        <w:bidi/>
        <w:spacing w:after="0" w:line="240" w:lineRule="auto"/>
        <w:jc w:val="lowKashida"/>
        <w:rPr>
          <w:rFonts w:asciiTheme="majorBidi" w:hAnsiTheme="majorBidi" w:cs="B Nazanin"/>
          <w:rtl/>
          <w:lang w:bidi="fa-IR"/>
        </w:rPr>
      </w:pPr>
      <w:r w:rsidRPr="00634ED5">
        <w:rPr>
          <w:rFonts w:asciiTheme="majorBidi" w:hAnsiTheme="majorBidi" w:cs="B Nazanin"/>
          <w:b/>
          <w:bCs/>
          <w:rtl/>
        </w:rPr>
        <w:t>عنوان درس :</w:t>
      </w:r>
      <w:r w:rsidRPr="00634ED5">
        <w:rPr>
          <w:rFonts w:asciiTheme="majorBidi" w:hAnsiTheme="majorBidi" w:cs="B Nazanin"/>
          <w:rtl/>
        </w:rPr>
        <w:t xml:space="preserve"> ايمني شناسي </w:t>
      </w:r>
      <w:r w:rsidR="00A32E83">
        <w:rPr>
          <w:rFonts w:asciiTheme="majorBidi" w:hAnsiTheme="majorBidi" w:cs="B Nazanin" w:hint="cs"/>
          <w:rtl/>
        </w:rPr>
        <w:t>داروسازی</w:t>
      </w:r>
      <w:r w:rsidRPr="00634ED5">
        <w:rPr>
          <w:rFonts w:asciiTheme="majorBidi" w:hAnsiTheme="majorBidi" w:cs="B Nazanin"/>
          <w:rtl/>
        </w:rPr>
        <w:t xml:space="preserve"> </w:t>
      </w:r>
      <w:r w:rsidRPr="00634ED5">
        <w:rPr>
          <w:rFonts w:asciiTheme="majorBidi" w:hAnsiTheme="majorBidi" w:cs="B Nazanin"/>
          <w:rtl/>
        </w:rPr>
        <w:tab/>
      </w:r>
      <w:r w:rsidRPr="00634ED5">
        <w:rPr>
          <w:rFonts w:asciiTheme="majorBidi" w:hAnsiTheme="majorBidi" w:cs="B Nazanin"/>
          <w:rtl/>
        </w:rPr>
        <w:tab/>
        <w:t xml:space="preserve"> </w:t>
      </w:r>
      <w:r w:rsidRPr="00634ED5">
        <w:rPr>
          <w:rFonts w:asciiTheme="majorBidi" w:hAnsiTheme="majorBidi" w:cs="B Nazanin"/>
          <w:rtl/>
          <w:lang w:bidi="fa-IR"/>
        </w:rPr>
        <w:tab/>
        <w:t xml:space="preserve">     </w:t>
      </w:r>
      <w:r w:rsidRPr="00634ED5">
        <w:rPr>
          <w:rFonts w:asciiTheme="majorBidi" w:hAnsiTheme="majorBidi" w:cs="B Nazanin"/>
          <w:rtl/>
        </w:rPr>
        <w:t xml:space="preserve"> </w:t>
      </w:r>
      <w:r w:rsidRPr="00634ED5">
        <w:rPr>
          <w:rFonts w:asciiTheme="majorBidi" w:hAnsiTheme="majorBidi" w:cs="B Nazanin"/>
          <w:b/>
          <w:bCs/>
          <w:rtl/>
        </w:rPr>
        <w:t>زمان برگزاري</w:t>
      </w:r>
      <w:r w:rsidRPr="00634ED5">
        <w:rPr>
          <w:rFonts w:asciiTheme="majorBidi" w:hAnsiTheme="majorBidi" w:cs="B Nazanin"/>
          <w:rtl/>
        </w:rPr>
        <w:t xml:space="preserve"> : </w:t>
      </w:r>
      <w:r>
        <w:rPr>
          <w:rFonts w:asciiTheme="majorBidi" w:hAnsiTheme="majorBidi" w:cs="B Nazanin" w:hint="cs"/>
          <w:rtl/>
        </w:rPr>
        <w:t>یکشنبه 10-12 و سه شنبه 10-11</w:t>
      </w:r>
    </w:p>
    <w:p w:rsidR="00A126DB" w:rsidRPr="00634ED5" w:rsidRDefault="00A126DB" w:rsidP="00A126DB">
      <w:pPr>
        <w:bidi/>
        <w:spacing w:after="0" w:line="240" w:lineRule="auto"/>
        <w:jc w:val="lowKashida"/>
        <w:rPr>
          <w:rFonts w:asciiTheme="majorBidi" w:hAnsiTheme="majorBidi" w:cs="B Nazanin"/>
          <w:rtl/>
        </w:rPr>
      </w:pPr>
      <w:r w:rsidRPr="00634ED5">
        <w:rPr>
          <w:rFonts w:asciiTheme="majorBidi" w:hAnsiTheme="majorBidi" w:cs="B Nazanin"/>
          <w:b/>
          <w:bCs/>
          <w:rtl/>
        </w:rPr>
        <w:t>مسئول درس :</w:t>
      </w:r>
      <w:r w:rsidRPr="00634ED5">
        <w:rPr>
          <w:rFonts w:asciiTheme="majorBidi" w:hAnsiTheme="majorBidi" w:cs="B Nazanin"/>
          <w:b/>
          <w:bCs/>
        </w:rPr>
        <w:tab/>
      </w:r>
      <w:r w:rsidR="002D5E2B">
        <w:rPr>
          <w:rFonts w:asciiTheme="majorBidi" w:hAnsiTheme="majorBidi" w:cs="B Nazanin" w:hint="cs"/>
          <w:b/>
          <w:bCs/>
          <w:rtl/>
          <w:lang w:bidi="fa-IR"/>
        </w:rPr>
        <w:t>دکتر نفیسه اسمعیل</w:t>
      </w:r>
      <w:r w:rsidRPr="00634ED5">
        <w:rPr>
          <w:rFonts w:asciiTheme="majorBidi" w:hAnsiTheme="majorBidi" w:cs="B Nazanin"/>
          <w:b/>
          <w:bCs/>
        </w:rPr>
        <w:tab/>
      </w:r>
      <w:r w:rsidRPr="00634ED5">
        <w:rPr>
          <w:rFonts w:asciiTheme="majorBidi" w:hAnsiTheme="majorBidi" w:cs="B Nazanin"/>
          <w:b/>
          <w:bCs/>
        </w:rPr>
        <w:tab/>
      </w:r>
      <w:r w:rsidRPr="00634ED5">
        <w:rPr>
          <w:rFonts w:asciiTheme="majorBidi" w:hAnsiTheme="majorBidi" w:cs="B Nazanin"/>
          <w:rtl/>
          <w:lang w:bidi="fa-IR"/>
        </w:rPr>
        <w:tab/>
      </w:r>
      <w:r w:rsidRPr="00634ED5">
        <w:rPr>
          <w:rFonts w:asciiTheme="majorBidi" w:hAnsiTheme="majorBidi" w:cs="B Nazanin"/>
          <w:rtl/>
          <w:lang w:bidi="fa-IR"/>
        </w:rPr>
        <w:tab/>
        <w:t xml:space="preserve">      </w:t>
      </w:r>
      <w:r w:rsidRPr="00634ED5">
        <w:rPr>
          <w:rFonts w:asciiTheme="majorBidi" w:hAnsiTheme="majorBidi" w:cs="B Nazanin"/>
          <w:b/>
          <w:bCs/>
          <w:rtl/>
        </w:rPr>
        <w:t xml:space="preserve">مدت زمان :  3 </w:t>
      </w:r>
      <w:r w:rsidRPr="00634ED5">
        <w:rPr>
          <w:rFonts w:asciiTheme="majorBidi" w:hAnsiTheme="majorBidi" w:cs="B Nazanin"/>
          <w:rtl/>
        </w:rPr>
        <w:t>ساعت در هفته</w:t>
      </w:r>
      <w:r w:rsidRPr="00634ED5">
        <w:rPr>
          <w:rFonts w:asciiTheme="majorBidi" w:hAnsiTheme="majorBidi" w:cs="B Nazanin" w:hint="cs"/>
          <w:rtl/>
        </w:rPr>
        <w:t xml:space="preserve"> برای هر گروه</w:t>
      </w:r>
    </w:p>
    <w:p w:rsidR="00A126DB" w:rsidRPr="00634ED5" w:rsidRDefault="00A126DB" w:rsidP="00A32E83">
      <w:pPr>
        <w:bidi/>
        <w:spacing w:after="0" w:line="240" w:lineRule="auto"/>
        <w:jc w:val="lowKashida"/>
        <w:rPr>
          <w:rFonts w:asciiTheme="majorBidi" w:hAnsiTheme="majorBidi" w:cs="B Nazanin"/>
          <w:rtl/>
        </w:rPr>
      </w:pPr>
      <w:r w:rsidRPr="00634ED5">
        <w:rPr>
          <w:rFonts w:asciiTheme="majorBidi" w:hAnsiTheme="majorBidi" w:cs="B Nazanin"/>
          <w:b/>
          <w:bCs/>
          <w:rtl/>
        </w:rPr>
        <w:t>محل برگزاري :</w:t>
      </w:r>
      <w:r w:rsidR="00A32E83">
        <w:rPr>
          <w:rFonts w:asciiTheme="majorBidi" w:hAnsiTheme="majorBidi" w:cs="B Nazanin"/>
          <w:b/>
          <w:bCs/>
          <w:rtl/>
        </w:rPr>
        <w:tab/>
      </w:r>
      <w:r w:rsidR="00A32E83">
        <w:rPr>
          <w:rFonts w:asciiTheme="majorBidi" w:hAnsiTheme="majorBidi" w:cs="B Nazanin"/>
          <w:b/>
          <w:bCs/>
          <w:rtl/>
        </w:rPr>
        <w:tab/>
      </w:r>
      <w:r w:rsidRPr="00634ED5">
        <w:rPr>
          <w:rFonts w:asciiTheme="majorBidi" w:hAnsiTheme="majorBidi" w:cs="B Nazanin"/>
          <w:rtl/>
        </w:rPr>
        <w:tab/>
      </w:r>
      <w:r w:rsidRPr="00634ED5">
        <w:rPr>
          <w:rFonts w:asciiTheme="majorBidi" w:hAnsiTheme="majorBidi" w:cs="B Nazanin"/>
          <w:rtl/>
        </w:rPr>
        <w:tab/>
      </w:r>
      <w:r w:rsidRPr="00634ED5">
        <w:rPr>
          <w:rFonts w:asciiTheme="majorBidi" w:hAnsiTheme="majorBidi" w:cs="B Nazanin"/>
          <w:rtl/>
          <w:lang w:bidi="fa-IR"/>
        </w:rPr>
        <w:t xml:space="preserve">                  </w:t>
      </w:r>
      <w:r w:rsidRPr="00634ED5">
        <w:rPr>
          <w:rFonts w:asciiTheme="majorBidi" w:hAnsiTheme="majorBidi" w:cs="B Nazanin"/>
          <w:b/>
          <w:bCs/>
          <w:rtl/>
        </w:rPr>
        <w:t>تعداد واحد :</w:t>
      </w:r>
      <w:r w:rsidRPr="00634ED5">
        <w:rPr>
          <w:rFonts w:asciiTheme="majorBidi" w:hAnsiTheme="majorBidi" w:cs="B Nazanin"/>
          <w:rtl/>
        </w:rPr>
        <w:t xml:space="preserve"> </w:t>
      </w:r>
      <w:r w:rsidRPr="00634ED5">
        <w:rPr>
          <w:rFonts w:asciiTheme="majorBidi" w:hAnsiTheme="majorBidi" w:cs="B Nazanin"/>
          <w:b/>
          <w:bCs/>
          <w:rtl/>
        </w:rPr>
        <w:t>5/2</w:t>
      </w:r>
      <w:r w:rsidRPr="00634ED5">
        <w:rPr>
          <w:rFonts w:asciiTheme="majorBidi" w:hAnsiTheme="majorBidi" w:cs="B Nazanin"/>
          <w:rtl/>
        </w:rPr>
        <w:t xml:space="preserve"> واحد نظري</w:t>
      </w:r>
    </w:p>
    <w:p w:rsidR="00A126DB" w:rsidRPr="00634ED5" w:rsidRDefault="00A126DB" w:rsidP="00A32E83">
      <w:pPr>
        <w:bidi/>
        <w:spacing w:after="0" w:line="240" w:lineRule="auto"/>
        <w:jc w:val="lowKashida"/>
        <w:rPr>
          <w:rFonts w:asciiTheme="majorBidi" w:hAnsiTheme="majorBidi" w:cs="B Nazanin"/>
          <w:rtl/>
        </w:rPr>
      </w:pPr>
      <w:r w:rsidRPr="00634ED5">
        <w:rPr>
          <w:rFonts w:asciiTheme="majorBidi" w:hAnsiTheme="majorBidi" w:cs="B Nazanin"/>
          <w:b/>
          <w:bCs/>
          <w:rtl/>
        </w:rPr>
        <w:t xml:space="preserve">پيشنياز : </w:t>
      </w:r>
    </w:p>
    <w:p w:rsidR="00A126DB" w:rsidRPr="00634ED5" w:rsidRDefault="00A126DB" w:rsidP="00A126DB">
      <w:pPr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34ED5">
        <w:rPr>
          <w:rFonts w:asciiTheme="majorBidi" w:hAnsiTheme="majorBidi" w:cs="B Nazanin"/>
          <w:b/>
          <w:bCs/>
          <w:rtl/>
        </w:rPr>
        <w:t>هدف</w:t>
      </w:r>
      <w:r w:rsidRPr="00634ED5">
        <w:rPr>
          <w:rFonts w:asciiTheme="majorBidi" w:hAnsiTheme="majorBidi" w:cs="B Nazanin"/>
          <w:rtl/>
        </w:rPr>
        <w:t xml:space="preserve"> : آشنايي كامل با سيستم ايمني بدن و ارتباط آن در تشخيص بيماريها </w:t>
      </w:r>
      <w:r w:rsidRPr="00634ED5">
        <w:rPr>
          <w:rFonts w:asciiTheme="majorBidi" w:hAnsiTheme="majorBidi" w:cs="B Nazanin"/>
          <w:rtl/>
          <w:lang w:bidi="fa-IR"/>
        </w:rPr>
        <w:t>و ارتباط با سایر</w:t>
      </w:r>
      <w:bookmarkStart w:id="0" w:name="_GoBack"/>
      <w:bookmarkEnd w:id="0"/>
      <w:r w:rsidRPr="00634ED5">
        <w:rPr>
          <w:rFonts w:asciiTheme="majorBidi" w:hAnsiTheme="majorBidi" w:cs="B Nazanin"/>
          <w:rtl/>
          <w:lang w:bidi="fa-IR"/>
        </w:rPr>
        <w:t xml:space="preserve"> بیماریهای وابسته </w:t>
      </w:r>
      <w:r w:rsidRPr="00634ED5">
        <w:rPr>
          <w:rFonts w:asciiTheme="majorBidi" w:hAnsiTheme="majorBidi" w:cs="B Nazanin" w:hint="cs"/>
          <w:rtl/>
          <w:lang w:bidi="fa-IR"/>
        </w:rPr>
        <w:t>و آشنایی با کاربرد های ایمنوتراپی</w:t>
      </w:r>
    </w:p>
    <w:p w:rsidR="00A126DB" w:rsidRPr="00634ED5" w:rsidRDefault="00A126DB" w:rsidP="00A126DB">
      <w:pPr>
        <w:bidi/>
        <w:spacing w:after="0" w:line="240" w:lineRule="auto"/>
        <w:jc w:val="both"/>
        <w:rPr>
          <w:rFonts w:asciiTheme="majorBidi" w:hAnsiTheme="majorBidi" w:cs="B Nazanin"/>
        </w:rPr>
      </w:pPr>
      <w:r w:rsidRPr="00634ED5">
        <w:rPr>
          <w:rFonts w:asciiTheme="majorBidi" w:hAnsiTheme="majorBidi" w:cs="B Nazanin"/>
          <w:b/>
          <w:bCs/>
          <w:rtl/>
        </w:rPr>
        <w:t>اساس ارزيابي</w:t>
      </w:r>
      <w:r w:rsidRPr="00634ED5">
        <w:rPr>
          <w:rFonts w:asciiTheme="majorBidi" w:hAnsiTheme="majorBidi" w:cs="B Nazanin"/>
          <w:rtl/>
        </w:rPr>
        <w:t xml:space="preserve"> : حضور فعال و مستمر دانشجويان در تمام جلسات درس الزامي - و از هر ساعت تدریس 4 تا 5 سئوال مکتوب چند گزینه ای بعمل می آید.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639"/>
        <w:gridCol w:w="8051"/>
        <w:gridCol w:w="1521"/>
      </w:tblGrid>
      <w:tr w:rsidR="00A126DB" w:rsidRPr="00634ED5" w:rsidTr="00BB53A1">
        <w:tc>
          <w:tcPr>
            <w:tcW w:w="268" w:type="pct"/>
          </w:tcPr>
          <w:p w:rsidR="00A126DB" w:rsidRPr="00634ED5" w:rsidRDefault="00A126DB" w:rsidP="00A126DB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ردیف</w:t>
            </w:r>
          </w:p>
        </w:tc>
        <w:tc>
          <w:tcPr>
            <w:tcW w:w="296" w:type="pct"/>
          </w:tcPr>
          <w:p w:rsidR="00A126DB" w:rsidRPr="00634ED5" w:rsidRDefault="00A126DB" w:rsidP="00A126DB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تاریخ</w:t>
            </w:r>
          </w:p>
        </w:tc>
        <w:tc>
          <w:tcPr>
            <w:tcW w:w="3731" w:type="pct"/>
          </w:tcPr>
          <w:p w:rsidR="00A126DB" w:rsidRPr="00634ED5" w:rsidRDefault="00A126DB" w:rsidP="00A126DB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عنوان تدریس</w:t>
            </w:r>
          </w:p>
        </w:tc>
        <w:tc>
          <w:tcPr>
            <w:tcW w:w="705" w:type="pct"/>
          </w:tcPr>
          <w:p w:rsidR="00A126DB" w:rsidRPr="00634ED5" w:rsidRDefault="00A126DB" w:rsidP="00A126DB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نام مدرس</w:t>
            </w:r>
          </w:p>
        </w:tc>
      </w:tr>
      <w:tr w:rsidR="00A126DB" w:rsidRPr="00634ED5" w:rsidTr="00BB53A1">
        <w:tc>
          <w:tcPr>
            <w:tcW w:w="268" w:type="pct"/>
          </w:tcPr>
          <w:p w:rsidR="00A126DB" w:rsidRPr="00634ED5" w:rsidRDefault="00A126DB" w:rsidP="00A126DB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1</w:t>
            </w:r>
          </w:p>
        </w:tc>
        <w:tc>
          <w:tcPr>
            <w:tcW w:w="296" w:type="pct"/>
          </w:tcPr>
          <w:p w:rsidR="00A126DB" w:rsidRPr="00634ED5" w:rsidRDefault="00A126DB" w:rsidP="00A126DB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A126DB" w:rsidRPr="00634ED5" w:rsidRDefault="00A126DB" w:rsidP="00A126DB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 xml:space="preserve">تاریخچه علم ایمنی شناسی- دوره ایمنی شناسی مشاهده ای- دوره ایمنی شناسی تجربی- دوره ایمنی شناسی جدید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نقش ایران و چین در علم ایمنی شناسی- ایمنی ذاتی و اکتسابی- ویژگی های پاسخ ایمنی اکتسابی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انواع پاسخ های ایمنی اکتسابی</w:t>
            </w:r>
          </w:p>
        </w:tc>
        <w:tc>
          <w:tcPr>
            <w:tcW w:w="705" w:type="pct"/>
          </w:tcPr>
          <w:p w:rsidR="00A126DB" w:rsidRPr="00634ED5" w:rsidRDefault="00A126DB" w:rsidP="002D5E2B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دکتر 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A126DB" w:rsidRPr="00634ED5" w:rsidTr="00BB53A1">
        <w:tc>
          <w:tcPr>
            <w:tcW w:w="268" w:type="pct"/>
          </w:tcPr>
          <w:p w:rsidR="00A126DB" w:rsidRPr="00634ED5" w:rsidRDefault="00A126DB" w:rsidP="00A126DB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2</w:t>
            </w:r>
          </w:p>
        </w:tc>
        <w:tc>
          <w:tcPr>
            <w:tcW w:w="296" w:type="pct"/>
          </w:tcPr>
          <w:p w:rsidR="00A126DB" w:rsidRPr="00634ED5" w:rsidRDefault="00A126DB" w:rsidP="00A126DB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A126DB" w:rsidRPr="00634ED5" w:rsidRDefault="00A126DB" w:rsidP="006B0643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 xml:space="preserve">سلول های متنوع سیستم ایمنی و بافت های ایمنی لنفاوی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مهاجرت و بازگردش لنفوسیت ها در بدن - ارتباط سیستم خونی و سیستم لنفاوی</w:t>
            </w:r>
            <w:r w:rsidRPr="00634ED5">
              <w:rPr>
                <w:rFonts w:asciiTheme="majorBidi" w:hAnsiTheme="majorBidi" w:cs="B Nazanin"/>
              </w:rPr>
              <w:t xml:space="preserve"> </w:t>
            </w:r>
          </w:p>
        </w:tc>
        <w:tc>
          <w:tcPr>
            <w:tcW w:w="705" w:type="pct"/>
          </w:tcPr>
          <w:p w:rsidR="00A126DB" w:rsidRDefault="00A126DB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3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 xml:space="preserve">ایمنی ذاتی شامل ویژگی های پاسخ های ایمنی ذاتی در مقایسه با ایمنی اکتسابی- ویژگی های پذیرنده های شناساگر الگو- اجزاء سلولی ایمنی ذاتی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اجزاء همورال ایمنی ذاتی</w:t>
            </w:r>
          </w:p>
        </w:tc>
        <w:tc>
          <w:tcPr>
            <w:tcW w:w="705" w:type="pct"/>
          </w:tcPr>
          <w:p w:rsidR="00B75109" w:rsidRDefault="002D5E2B" w:rsidP="00B75109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اسمعیل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4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ایمونوژنها و آنتی ژنها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ساختار آنتی ژن های متنوع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ساختار های متنوع و ایمونوژنها- آنتی ژن های وابسته و غیر وابسته به سلول </w:t>
            </w:r>
            <w:r w:rsidRPr="00634ED5">
              <w:rPr>
                <w:rFonts w:asciiTheme="majorBidi" w:hAnsiTheme="majorBidi" w:cs="B Nazanin"/>
              </w:rPr>
              <w:t>T</w:t>
            </w:r>
          </w:p>
        </w:tc>
        <w:tc>
          <w:tcPr>
            <w:tcW w:w="705" w:type="pct"/>
          </w:tcPr>
          <w:p w:rsidR="00B75109" w:rsidRDefault="002D5E2B" w:rsidP="00B75109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اسمعیل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5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ساختمان و خصوصیات آنتی بادیها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شامل چگونگی سنتز آنتی بادی ها- نیمه عمر آنتی بادی ها- اعمال اجرایی آنتی بادی ها</w:t>
            </w:r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>اس</w:t>
            </w:r>
            <w:r w:rsidR="002D5E2B">
              <w:rPr>
                <w:rFonts w:asciiTheme="majorBidi" w:hAnsiTheme="majorBidi" w:cs="B Nazanin" w:hint="cs"/>
                <w:rtl/>
              </w:rPr>
              <w:t>معیل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6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انواع ایمونوگلوبولین ها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ویژگی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ها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عملکرد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آنها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در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بدن- تنوع آنتی بادی های </w:t>
            </w:r>
            <w:proofErr w:type="spellStart"/>
            <w:r w:rsidRPr="00634ED5">
              <w:rPr>
                <w:rFonts w:asciiTheme="majorBidi" w:hAnsiTheme="majorBidi" w:cs="B Nazanin"/>
              </w:rPr>
              <w:t>IgG</w:t>
            </w:r>
            <w:proofErr w:type="spellEnd"/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proofErr w:type="spellStart"/>
            <w:r w:rsidRPr="00634ED5">
              <w:rPr>
                <w:rFonts w:asciiTheme="majorBidi" w:hAnsiTheme="majorBidi" w:cs="B Nazanin"/>
                <w:lang w:bidi="fa-IR"/>
              </w:rPr>
              <w:t>IgM</w:t>
            </w:r>
            <w:proofErr w:type="spellEnd"/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Pr="00634ED5">
              <w:rPr>
                <w:rFonts w:asciiTheme="majorBidi" w:hAnsiTheme="majorBidi" w:cs="B Nazanin"/>
                <w:lang w:bidi="fa-IR"/>
              </w:rPr>
              <w:t>IgA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proofErr w:type="spellStart"/>
            <w:r w:rsidRPr="00634ED5">
              <w:rPr>
                <w:rFonts w:asciiTheme="majorBidi" w:hAnsiTheme="majorBidi" w:cs="B Nazanin"/>
                <w:lang w:bidi="fa-IR"/>
              </w:rPr>
              <w:t>IgE</w:t>
            </w:r>
            <w:proofErr w:type="spellEnd"/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7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ویژگی آنتی ژنیک آنتی بادیها- آنتی بادی مونوکلونال- استفاده درمانی و تشخیص از آنتی بادیها</w:t>
            </w:r>
          </w:p>
        </w:tc>
        <w:tc>
          <w:tcPr>
            <w:tcW w:w="705" w:type="pct"/>
          </w:tcPr>
          <w:p w:rsidR="00B75109" w:rsidRDefault="00B75109" w:rsidP="00B75109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اسمعیل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8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ساختمان و عملکرد لنفوسیتهای </w:t>
            </w:r>
            <w:r w:rsidRPr="00634ED5">
              <w:rPr>
                <w:rFonts w:asciiTheme="majorBidi" w:hAnsiTheme="majorBidi" w:cs="B Nazanin"/>
              </w:rPr>
              <w:t>B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- مراحل </w:t>
            </w:r>
            <w:r w:rsidRPr="00634ED5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تکوین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تا تولید سلولهای سازنده آنتی بادی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شامل تمایز لنفوسیت های </w:t>
            </w:r>
            <w:r w:rsidRPr="00634ED5">
              <w:rPr>
                <w:rFonts w:asciiTheme="majorBidi" w:hAnsiTheme="majorBidi" w:cs="B Nazanin"/>
                <w:lang w:bidi="fa-IR"/>
              </w:rPr>
              <w:t>B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به پلاسما سل های مولد آنتی بادی </w:t>
            </w:r>
            <w:r w:rsidRPr="00634ED5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تفاوت لنفوسیت های وابسته به </w:t>
            </w:r>
            <w:r w:rsidRPr="00634ED5">
              <w:rPr>
                <w:rFonts w:asciiTheme="majorBidi" w:hAnsiTheme="majorBidi" w:cs="B Nazanin"/>
                <w:lang w:bidi="fa-IR"/>
              </w:rPr>
              <w:t>T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غیر وابسته به </w:t>
            </w:r>
            <w:r w:rsidRPr="00634ED5">
              <w:rPr>
                <w:rFonts w:asciiTheme="majorBidi" w:hAnsiTheme="majorBidi" w:cs="B Nazanin"/>
                <w:lang w:bidi="fa-IR"/>
              </w:rPr>
              <w:t>T</w:t>
            </w:r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 w:rsidR="002D5E2B">
              <w:rPr>
                <w:rFonts w:asciiTheme="majorBidi" w:hAnsiTheme="majorBidi" w:cs="B Nazanin" w:hint="cs"/>
                <w:rtl/>
              </w:rPr>
              <w:t>اسکندری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9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ساختمان و عملکرد لنفوسیتهای </w:t>
            </w:r>
            <w:r w:rsidRPr="00634ED5">
              <w:rPr>
                <w:rFonts w:asciiTheme="majorBidi" w:hAnsiTheme="majorBidi" w:cs="B Nazanin"/>
              </w:rPr>
              <w:t>T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- مراحل 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تکوین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و رسپتورهای اختصاصی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شامل تمایز سلول های </w:t>
            </w:r>
            <w:r w:rsidRPr="00634ED5">
              <w:rPr>
                <w:rFonts w:asciiTheme="majorBidi" w:hAnsiTheme="majorBidi" w:cs="B Nazanin"/>
                <w:lang w:bidi="fa-IR"/>
              </w:rPr>
              <w:t>CD4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Pr="00634ED5">
              <w:rPr>
                <w:rFonts w:asciiTheme="majorBidi" w:hAnsiTheme="majorBidi" w:cs="B Nazanin"/>
                <w:lang w:bidi="fa-IR"/>
              </w:rPr>
              <w:t>CD1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سلول های </w:t>
            </w:r>
            <w:r w:rsidRPr="00634ED5">
              <w:rPr>
                <w:rFonts w:asciiTheme="majorBidi" w:hAnsiTheme="majorBidi" w:cs="B Nazanin"/>
                <w:lang w:bidi="fa-IR"/>
              </w:rPr>
              <w:t>T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خاطره ای </w:t>
            </w:r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10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سیتوکاینها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طبقه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بندی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آنها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ویژگی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های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ایمونولوژیک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آنها شامل سیتوکاینهای </w:t>
            </w:r>
            <w:r w:rsidRPr="00634ED5">
              <w:rPr>
                <w:rFonts w:asciiTheme="majorBidi" w:hAnsiTheme="majorBidi" w:cs="B Nazanin"/>
              </w:rPr>
              <w:t>Th1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Pr="00634ED5">
              <w:rPr>
                <w:rFonts w:asciiTheme="majorBidi" w:hAnsiTheme="majorBidi" w:cs="B Nazanin"/>
                <w:lang w:bidi="fa-IR"/>
              </w:rPr>
              <w:t>Th2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Pr="00634ED5">
              <w:rPr>
                <w:rFonts w:asciiTheme="majorBidi" w:hAnsiTheme="majorBidi" w:cs="B Nazanin"/>
                <w:lang w:bidi="fa-IR"/>
              </w:rPr>
              <w:t>Th3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Pr="00634ED5">
              <w:rPr>
                <w:rFonts w:asciiTheme="majorBidi" w:hAnsiTheme="majorBidi" w:cs="B Nazanin"/>
                <w:lang w:bidi="fa-IR"/>
              </w:rPr>
              <w:t>Th7</w:t>
            </w:r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11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سیتوکاینها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طبقه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بندی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آنها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ویژگی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های</w:t>
            </w:r>
            <w:r w:rsidRPr="00634ED5">
              <w:rPr>
                <w:rFonts w:asciiTheme="majorBidi" w:hAnsiTheme="majorBidi" w:cs="B Nazanin"/>
                <w:rtl/>
              </w:rPr>
              <w:t xml:space="preserve"> ایمونولوژیک آنها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شامل سیتوکاین های خون ساز- سیتوکاین های سیستم ایمنی ذاتی- کموکاین ها</w:t>
            </w:r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12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ساختمان رسپتوری </w:t>
            </w:r>
            <w:r w:rsidRPr="00634ED5">
              <w:rPr>
                <w:rFonts w:asciiTheme="majorBidi" w:hAnsiTheme="majorBidi" w:cs="B Nazanin"/>
              </w:rPr>
              <w:t>MHC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کلاس یک و کلاس دو و ساختمان ژنتیکی آنها و نحوه عملکرد</w:t>
            </w:r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13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پردازش آنتی ژنها و ارتباط </w:t>
            </w:r>
            <w:r w:rsidRPr="00634ED5">
              <w:rPr>
                <w:rFonts w:asciiTheme="majorBidi" w:hAnsiTheme="majorBidi" w:cs="B Nazanin"/>
              </w:rPr>
              <w:t>MHC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 و مسیر پردازش آنتی ژنهای درون سلولی و برون سلولی</w:t>
            </w:r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75109" w:rsidRPr="00634ED5" w:rsidTr="00BB53A1">
        <w:tc>
          <w:tcPr>
            <w:tcW w:w="268" w:type="pct"/>
          </w:tcPr>
          <w:p w:rsidR="00B75109" w:rsidRPr="00634ED5" w:rsidRDefault="00B75109" w:rsidP="00B75109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lastRenderedPageBreak/>
              <w:t>14</w:t>
            </w:r>
          </w:p>
        </w:tc>
        <w:tc>
          <w:tcPr>
            <w:tcW w:w="296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75109" w:rsidRPr="00634ED5" w:rsidRDefault="00B75109" w:rsidP="00B75109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>سلولهای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ماکروفاژها و فاگوسیتوز و نوتروفیلها، منوسیتها</w:t>
            </w:r>
            <w:r w:rsidRPr="00634ED5">
              <w:rPr>
                <w:rFonts w:asciiTheme="majorBidi" w:hAnsiTheme="majorBidi" w:cs="B Nazanin"/>
                <w:rtl/>
              </w:rPr>
              <w:t xml:space="preserve"> و </w:t>
            </w:r>
            <w:proofErr w:type="spellStart"/>
            <w:r w:rsidRPr="00634ED5">
              <w:rPr>
                <w:rFonts w:asciiTheme="majorBidi" w:hAnsiTheme="majorBidi" w:cs="B Nazanin"/>
              </w:rPr>
              <w:t>NKTcell</w:t>
            </w:r>
            <w:proofErr w:type="spellEnd"/>
            <w:r w:rsidRPr="00634ED5">
              <w:rPr>
                <w:rFonts w:asciiTheme="majorBidi" w:hAnsiTheme="majorBidi" w:cs="B Nazanin"/>
              </w:rPr>
              <w:t>-NK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 </w:t>
            </w:r>
          </w:p>
        </w:tc>
        <w:tc>
          <w:tcPr>
            <w:tcW w:w="705" w:type="pct"/>
          </w:tcPr>
          <w:p w:rsidR="00B75109" w:rsidRDefault="00B75109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9F0B62" w:rsidRPr="00634ED5" w:rsidTr="00BB53A1">
        <w:tc>
          <w:tcPr>
            <w:tcW w:w="268" w:type="pct"/>
          </w:tcPr>
          <w:p w:rsidR="009F0B62" w:rsidRPr="00634ED5" w:rsidRDefault="009F0B62" w:rsidP="009F0B62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15</w:t>
            </w:r>
          </w:p>
        </w:tc>
        <w:tc>
          <w:tcPr>
            <w:tcW w:w="296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ارتباط سلولهای </w:t>
            </w:r>
            <w:r w:rsidRPr="00634ED5">
              <w:rPr>
                <w:rFonts w:asciiTheme="majorBidi" w:hAnsiTheme="majorBidi" w:cs="B Nazanin"/>
              </w:rPr>
              <w:t>T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و </w:t>
            </w:r>
            <w:r w:rsidRPr="00634ED5">
              <w:rPr>
                <w:rFonts w:asciiTheme="majorBidi" w:hAnsiTheme="majorBidi" w:cs="B Nazanin"/>
                <w:lang w:bidi="fa-IR"/>
              </w:rPr>
              <w:t>B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و س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ا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>یتوک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ا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ینها و </w:t>
            </w:r>
            <w:r w:rsidRPr="00634ED5">
              <w:rPr>
                <w:rFonts w:asciiTheme="majorBidi" w:hAnsiTheme="majorBidi" w:cs="B Nazanin"/>
                <w:lang w:bidi="fa-IR"/>
              </w:rPr>
              <w:t>MHC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در یک پروسه ایمونولوژیک</w:t>
            </w:r>
          </w:p>
        </w:tc>
        <w:tc>
          <w:tcPr>
            <w:tcW w:w="705" w:type="pct"/>
          </w:tcPr>
          <w:p w:rsidR="009F0B62" w:rsidRDefault="009F0B62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9F0B62" w:rsidRPr="00634ED5" w:rsidTr="00BB53A1">
        <w:tc>
          <w:tcPr>
            <w:tcW w:w="268" w:type="pct"/>
          </w:tcPr>
          <w:p w:rsidR="009F0B62" w:rsidRPr="00634ED5" w:rsidRDefault="009F0B62" w:rsidP="009F0B62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16</w:t>
            </w:r>
          </w:p>
        </w:tc>
        <w:tc>
          <w:tcPr>
            <w:tcW w:w="296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>ساختمان اجزاء کمپلمان- نحوه فعال شدن از مسیر کلاسیک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</w:t>
            </w:r>
            <w:r w:rsidRPr="00634ED5">
              <w:rPr>
                <w:rFonts w:asciiTheme="majorBidi" w:hAnsiTheme="majorBidi" w:cs="B Nazanin"/>
              </w:rPr>
              <w:t>I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05" w:type="pct"/>
          </w:tcPr>
          <w:p w:rsidR="009F0B62" w:rsidRDefault="009F0B62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9F0B62" w:rsidRPr="00634ED5" w:rsidTr="00BB53A1">
        <w:tc>
          <w:tcPr>
            <w:tcW w:w="268" w:type="pct"/>
          </w:tcPr>
          <w:p w:rsidR="009F0B62" w:rsidRPr="00634ED5" w:rsidRDefault="009F0B62" w:rsidP="009F0B62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17</w:t>
            </w:r>
          </w:p>
        </w:tc>
        <w:tc>
          <w:tcPr>
            <w:tcW w:w="296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فعال شدن کمپلمان از مسیر فرعی و </w:t>
            </w:r>
            <w:r w:rsidRPr="00634ED5">
              <w:rPr>
                <w:rFonts w:asciiTheme="majorBidi" w:hAnsiTheme="majorBidi" w:cs="B Nazanin"/>
              </w:rPr>
              <w:t>MBL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 و چگونگی کنترل فعالیت کمپلمان </w:t>
            </w:r>
            <w:r w:rsidRPr="00634ED5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نقایص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اجزاء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کمپلمان</w:t>
            </w:r>
            <w:r w:rsidRPr="00634ED5">
              <w:rPr>
                <w:rFonts w:asciiTheme="majorBidi" w:hAnsiTheme="majorBidi" w:cs="B Nazanin"/>
                <w:lang w:bidi="fa-IR"/>
              </w:rPr>
              <w:t>II</w:t>
            </w:r>
          </w:p>
        </w:tc>
        <w:tc>
          <w:tcPr>
            <w:tcW w:w="705" w:type="pct"/>
          </w:tcPr>
          <w:p w:rsidR="009F0B62" w:rsidRDefault="009F0B62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9F0B62" w:rsidRPr="00634ED5" w:rsidTr="00BB53A1">
        <w:tc>
          <w:tcPr>
            <w:tcW w:w="268" w:type="pct"/>
          </w:tcPr>
          <w:p w:rsidR="009F0B62" w:rsidRPr="00634ED5" w:rsidRDefault="009F0B62" w:rsidP="009F0B62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18</w:t>
            </w:r>
          </w:p>
        </w:tc>
        <w:tc>
          <w:tcPr>
            <w:tcW w:w="296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ایمنی شناسی آنتی ژنهای گروههای خونی- سیستم </w:t>
            </w:r>
            <w:r w:rsidRPr="00634ED5">
              <w:rPr>
                <w:rFonts w:asciiTheme="majorBidi" w:hAnsiTheme="majorBidi" w:cs="B Nazanin"/>
              </w:rPr>
              <w:t>ABO</w:t>
            </w:r>
          </w:p>
        </w:tc>
        <w:tc>
          <w:tcPr>
            <w:tcW w:w="705" w:type="pct"/>
          </w:tcPr>
          <w:p w:rsidR="009F0B62" w:rsidRDefault="009F0B62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F712CA">
              <w:rPr>
                <w:rFonts w:asciiTheme="majorBidi" w:hAnsiTheme="majorBidi" w:cs="B Nazanin" w:hint="cs"/>
                <w:rtl/>
              </w:rPr>
              <w:t xml:space="preserve">شریفی </w:t>
            </w:r>
          </w:p>
        </w:tc>
      </w:tr>
      <w:tr w:rsidR="009F0B62" w:rsidRPr="00634ED5" w:rsidTr="00BB53A1">
        <w:tc>
          <w:tcPr>
            <w:tcW w:w="268" w:type="pct"/>
          </w:tcPr>
          <w:p w:rsidR="009F0B62" w:rsidRPr="00634ED5" w:rsidRDefault="00BB53A1" w:rsidP="009F0B62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**</w:t>
            </w:r>
          </w:p>
        </w:tc>
        <w:tc>
          <w:tcPr>
            <w:tcW w:w="296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9F0B62" w:rsidRPr="00634ED5" w:rsidRDefault="009F0B62" w:rsidP="009F0B62">
            <w:pPr>
              <w:bidi/>
              <w:spacing w:line="240" w:lineRule="auto"/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634ED5">
              <w:rPr>
                <w:rFonts w:asciiTheme="majorBidi" w:hAnsiTheme="majorBidi" w:cs="B Nazanin"/>
                <w:b/>
                <w:bCs/>
                <w:rtl/>
              </w:rPr>
              <w:t>آزمون میان ترم</w:t>
            </w:r>
          </w:p>
        </w:tc>
        <w:tc>
          <w:tcPr>
            <w:tcW w:w="705" w:type="pct"/>
          </w:tcPr>
          <w:p w:rsidR="009F0B62" w:rsidRDefault="009F0B62" w:rsidP="009F0B62">
            <w:pPr>
              <w:bidi/>
              <w:jc w:val="center"/>
            </w:pP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19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ایمنی شناسی آنتی ژنهای گروههای خونی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سیستم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/>
              </w:rPr>
              <w:t>Rh-null - Rh</w:t>
            </w:r>
          </w:p>
        </w:tc>
        <w:tc>
          <w:tcPr>
            <w:tcW w:w="705" w:type="pct"/>
          </w:tcPr>
          <w:p w:rsidR="00BB53A1" w:rsidRDefault="00BB53A1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 w:rsidR="00F712CA">
              <w:rPr>
                <w:rFonts w:asciiTheme="majorBidi" w:hAnsiTheme="majorBidi" w:cs="B Nazanin" w:hint="cs"/>
                <w:rtl/>
              </w:rPr>
              <w:t xml:space="preserve">شریفی 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20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ایمنی شناسی آنتی ژنهای گروههای خونی </w:t>
            </w:r>
            <w:r w:rsidRPr="00634ED5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سیستم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های</w:t>
            </w:r>
            <w:r w:rsidRPr="00634ED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634ED5">
              <w:rPr>
                <w:rFonts w:asciiTheme="majorBidi" w:hAnsiTheme="majorBidi" w:cs="B Nazanin"/>
                <w:lang w:bidi="fa-IR"/>
              </w:rPr>
              <w:t xml:space="preserve">Li, P, Kidd, Duffy, </w:t>
            </w:r>
            <w:proofErr w:type="spellStart"/>
            <w:r w:rsidRPr="00634ED5">
              <w:rPr>
                <w:rFonts w:asciiTheme="majorBidi" w:hAnsiTheme="majorBidi" w:cs="B Nazanin"/>
                <w:lang w:bidi="fa-IR"/>
              </w:rPr>
              <w:t>Kell</w:t>
            </w:r>
            <w:proofErr w:type="spellEnd"/>
            <w:r w:rsidRPr="00634ED5">
              <w:rPr>
                <w:rFonts w:asciiTheme="majorBidi" w:hAnsiTheme="majorBidi" w:cs="B Nazanin"/>
                <w:lang w:bidi="fa-IR"/>
              </w:rPr>
              <w:t>, MNSS</w:t>
            </w:r>
          </w:p>
        </w:tc>
        <w:tc>
          <w:tcPr>
            <w:tcW w:w="705" w:type="pct"/>
          </w:tcPr>
          <w:p w:rsidR="00BB53A1" w:rsidRDefault="00BB53A1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F712CA">
              <w:rPr>
                <w:rFonts w:asciiTheme="majorBidi" w:hAnsiTheme="majorBidi" w:cs="B Nazanin" w:hint="cs"/>
                <w:rtl/>
              </w:rPr>
              <w:t>شریفی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21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بیماریهای ناشی از ناسازگاری مادر و جنین و انتقال خون و داخل رحمی</w:t>
            </w:r>
          </w:p>
        </w:tc>
        <w:tc>
          <w:tcPr>
            <w:tcW w:w="705" w:type="pct"/>
          </w:tcPr>
          <w:p w:rsidR="00BB53A1" w:rsidRDefault="00BB53A1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 w:rsidR="00F712CA">
              <w:rPr>
                <w:rFonts w:asciiTheme="majorBidi" w:hAnsiTheme="majorBidi" w:cs="B Nazanin" w:hint="cs"/>
                <w:rtl/>
              </w:rPr>
              <w:t>شریفی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22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فرآورده های خونی و اثرات نامطلوب انتقال خون ناسازگار</w:t>
            </w:r>
          </w:p>
        </w:tc>
        <w:tc>
          <w:tcPr>
            <w:tcW w:w="705" w:type="pct"/>
          </w:tcPr>
          <w:p w:rsidR="00BB53A1" w:rsidRDefault="00BB53A1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F712CA">
              <w:rPr>
                <w:rFonts w:asciiTheme="majorBidi" w:hAnsiTheme="majorBidi" w:cs="B Nazanin" w:hint="cs"/>
                <w:rtl/>
              </w:rPr>
              <w:t>شریفی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23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ايمونولوژي 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سطوح مخاطی و پوست شامل بافت های لنفاوی مخاطی تجمع یافته- بافت های مخاطی پراکنده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سلول های ایمنی ذاتی اختصاصی در دستگاه گوارش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ایمنی نوزادان و سیستم ایمنی پوست</w:t>
            </w:r>
            <w:r w:rsidRPr="00634ED5">
              <w:rPr>
                <w:rFonts w:asciiTheme="majorBidi" w:hAnsiTheme="majorBidi" w:cs="B Nazanin"/>
              </w:rPr>
              <w:t>I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24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ايمونولوژي 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سطوح مخاطی و پوست شامل بافت های لنفاوی مخاطی تجمع یافته- بافت های مخاطی پراکنده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سلول های ایمنی ذاتی اختصاصی در دستگاه گوارش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Times New Roman" w:hAnsi="Times New Roman" w:cs="Times New Roman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ایمنی نوزادان و سیستم ایمنی پوست</w:t>
            </w:r>
            <w:r w:rsidRPr="00634ED5">
              <w:rPr>
                <w:rFonts w:asciiTheme="majorBidi" w:hAnsiTheme="majorBidi" w:cs="B Nazanin"/>
              </w:rPr>
              <w:t>II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B53A1" w:rsidRPr="00634ED5" w:rsidTr="00BB53A1">
        <w:trPr>
          <w:trHeight w:val="389"/>
        </w:trPr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25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مکانیسم های تولرانس ایمونولوژیک به خود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شامل تولرانس محیطی و خود ایمنی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26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مکانیسم های پیوند بافت و عضو مرتبط با سیستم ایمنی </w:t>
            </w:r>
            <w:r w:rsidRPr="00634ED5">
              <w:rPr>
                <w:rFonts w:asciiTheme="majorBidi" w:hAnsiTheme="majorBidi" w:cs="B Nazanin" w:hint="cs"/>
                <w:rtl/>
              </w:rPr>
              <w:t>شامل آلوآنتی ژن های و پاسخ ایمنی به آلوگرافت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27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دلایل رد پیوند بافت ها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آزمایشهای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مرتبط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با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بافت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پیوندی شامل پیشگیری و درمان رد پیوند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28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چگونگی کنترل رد پیوند- کاربرد داروها و مواد بیولوژیک در مدیریت پیوند اعضاء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شامل پیوند سلول های بنیادی خون ساز و پیوند زنوگرافت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29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ایمنی شناسی </w:t>
            </w:r>
            <w:r w:rsidRPr="00634ED5">
              <w:rPr>
                <w:rFonts w:asciiTheme="majorBidi" w:hAnsiTheme="majorBidi" w:cs="B Nazanin" w:hint="cs"/>
                <w:rtl/>
              </w:rPr>
              <w:t>سرطان</w:t>
            </w:r>
            <w:r w:rsidRPr="00634ED5">
              <w:rPr>
                <w:rFonts w:asciiTheme="majorBidi" w:hAnsiTheme="majorBidi" w:cs="B Nazanin"/>
                <w:rtl/>
              </w:rPr>
              <w:t xml:space="preserve">- مکانیسم های اجرایی در پاسخ های ایمونولوژیک به آنتی ژنهای 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سرطان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مکانیسم های گریز تومور از پاسخ های ایمنی بدن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>
              <w:rPr>
                <w:rFonts w:hint="cs"/>
                <w:rtl/>
              </w:rPr>
              <w:t>دکتر</w:t>
            </w:r>
            <w:r w:rsidR="002D5E2B">
              <w:rPr>
                <w:rFonts w:hint="cs"/>
                <w:rtl/>
              </w:rPr>
              <w:t>اسمعیل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30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تومور مارکرها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بررسی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مکانیسم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های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ایمونوتراپی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سرطانها و ایمنی درمانی سرطانها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 w:rsidR="002D5E2B">
              <w:rPr>
                <w:rFonts w:asciiTheme="majorBidi" w:hAnsiTheme="majorBidi" w:cs="B Nazanin" w:hint="cs"/>
                <w:rtl/>
              </w:rPr>
              <w:t xml:space="preserve">اسمعیل 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31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>مکانیسم ها و بیماریهای اتوایمیون ناشی از شکستن سد تولرانس</w:t>
            </w:r>
            <w:r w:rsidRPr="00634ED5">
              <w:rPr>
                <w:rFonts w:asciiTheme="majorBidi" w:hAnsiTheme="majorBidi" w:cs="B Nazanin"/>
              </w:rPr>
              <w:t>I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بیماری های اتوایمیون ناشی از خود ایمنی سلولی و رسپتوری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اسکندری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32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مکانیسم ها و بیماریهای اتوایمیون ناشی از شکستن سد تولرانس </w:t>
            </w:r>
            <w:r w:rsidRPr="00634ED5">
              <w:rPr>
                <w:rFonts w:asciiTheme="majorBidi" w:hAnsiTheme="majorBidi" w:cs="B Nazanin"/>
              </w:rPr>
              <w:t>II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بیماری های خود ایمن سیستمی و وابسته به ریسک فاکتورها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اسکندری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33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واکنش افزایش حساسیت نوع </w:t>
            </w:r>
            <w:r w:rsidRPr="00634ED5">
              <w:rPr>
                <w:rFonts w:asciiTheme="majorBidi" w:hAnsiTheme="majorBidi" w:cs="B Nazanin"/>
              </w:rPr>
              <w:t>I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پاسخ های ایمنی وابسته به </w:t>
            </w:r>
            <w:proofErr w:type="spellStart"/>
            <w:r w:rsidRPr="00634ED5">
              <w:rPr>
                <w:rFonts w:asciiTheme="majorBidi" w:hAnsiTheme="majorBidi" w:cs="B Nazanin"/>
              </w:rPr>
              <w:t>IgE</w:t>
            </w:r>
            <w:proofErr w:type="spellEnd"/>
            <w:r w:rsidRPr="00634ED5">
              <w:rPr>
                <w:rFonts w:asciiTheme="majorBidi" w:hAnsiTheme="majorBidi" w:cs="B Nazanin" w:hint="cs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ماهیت آلرژنها و آب شدن سلول های </w:t>
            </w:r>
            <w:r w:rsidRPr="00634ED5">
              <w:rPr>
                <w:rFonts w:asciiTheme="majorBidi" w:hAnsiTheme="majorBidi" w:cs="B Nazanin"/>
              </w:rPr>
              <w:t>Th2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634ED5">
              <w:rPr>
                <w:rFonts w:ascii="Arial" w:hAnsi="Arial" w:cs="Arial" w:hint="cs"/>
                <w:rtl/>
                <w:lang w:bidi="fa-IR"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نقش ماست سل و بازوفیل ها و ائوزینوفیل ها 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اسکندری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lastRenderedPageBreak/>
              <w:t>34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واکنش افزایش حساسیت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استعداد ژنتیکی به بیماری های ازدیاد حساسیت- پاتوژنز و درمان- روشهای تشخیصی- ایمنی درمانی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اسکندری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35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واکنش افزایش حساسیت نوع </w:t>
            </w:r>
            <w:r w:rsidRPr="00634ED5">
              <w:rPr>
                <w:rFonts w:asciiTheme="majorBidi" w:hAnsiTheme="majorBidi" w:cs="B Nazanin"/>
              </w:rPr>
              <w:t>III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و </w:t>
            </w:r>
            <w:r w:rsidRPr="00634ED5">
              <w:rPr>
                <w:rFonts w:asciiTheme="majorBidi" w:hAnsiTheme="majorBidi" w:cs="B Nazanin"/>
              </w:rPr>
              <w:t>IV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اسکندری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36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  <w:lang w:bidi="fa-IR"/>
              </w:rPr>
              <w:t>انوع واکنش های ایمنی در مقابل ویروسها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و قارچ ها و انگل ها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37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انواع واکنش های ایمنی در مقابل باکتریهای درون سلولی و برون سلولی و انگلها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38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پاسخ ایمنی در مقابل ویروس </w:t>
            </w:r>
            <w:r w:rsidRPr="00634ED5">
              <w:rPr>
                <w:rFonts w:asciiTheme="majorBidi" w:hAnsiTheme="majorBidi" w:cs="B Nazanin"/>
              </w:rPr>
              <w:t>HIV</w:t>
            </w:r>
          </w:p>
        </w:tc>
        <w:tc>
          <w:tcPr>
            <w:tcW w:w="705" w:type="pct"/>
          </w:tcPr>
          <w:p w:rsidR="00BB53A1" w:rsidRDefault="00BB53A1" w:rsidP="002D5E2B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2D5E2B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39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ایمونوفارماکولوژی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اسکندری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40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واكسيناسيون (مصون سازي)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انواع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مصون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سازي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مصون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سازي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فعال</w:t>
            </w:r>
            <w:r w:rsidRPr="00634ED5">
              <w:rPr>
                <w:rFonts w:asciiTheme="majorBidi" w:hAnsiTheme="majorBidi" w:cs="B Nazanin"/>
                <w:rtl/>
              </w:rPr>
              <w:t xml:space="preserve"> - </w:t>
            </w:r>
            <w:r w:rsidRPr="00634ED5">
              <w:rPr>
                <w:rFonts w:asciiTheme="majorBidi" w:hAnsiTheme="majorBidi" w:cs="B Nazanin" w:hint="cs"/>
                <w:rtl/>
              </w:rPr>
              <w:t>انواع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واكسن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ها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عوارض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جانبي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واكسن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ها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استفاده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از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واكسن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هاي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proofErr w:type="spellStart"/>
            <w:r w:rsidRPr="00634ED5">
              <w:rPr>
                <w:rFonts w:asciiTheme="majorBidi" w:hAnsiTheme="majorBidi" w:cs="B Nazanin"/>
              </w:rPr>
              <w:t>Recommbinant</w:t>
            </w:r>
            <w:proofErr w:type="spellEnd"/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اسکندری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41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نقص ايمني </w:t>
            </w:r>
            <w:r w:rsidRPr="00634ED5">
              <w:rPr>
                <w:rFonts w:asciiTheme="majorBidi" w:hAnsiTheme="majorBidi" w:cs="B Nazanin"/>
              </w:rPr>
              <w:t>B</w:t>
            </w:r>
            <w:r w:rsidRPr="00634ED5">
              <w:rPr>
                <w:rFonts w:asciiTheme="majorBidi" w:hAnsiTheme="majorBidi" w:cs="B Nazanin"/>
                <w:rtl/>
              </w:rPr>
              <w:t xml:space="preserve"> سل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روش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تشخيص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كلينيكي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آزمايشگاهي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عيوب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سيستم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ايمني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آگاماگلوبولينيمي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وابسته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به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جنس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كمبود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انتخابي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ايمونوگلبولينها</w:t>
            </w:r>
            <w:r w:rsidRPr="00634ED5">
              <w:rPr>
                <w:rFonts w:asciiTheme="majorBidi" w:hAnsiTheme="majorBidi" w:cs="B Nazanin"/>
                <w:rtl/>
              </w:rPr>
              <w:t xml:space="preserve">- </w:t>
            </w:r>
            <w:r w:rsidRPr="00634ED5">
              <w:rPr>
                <w:rFonts w:asciiTheme="majorBidi" w:hAnsiTheme="majorBidi" w:cs="B Nazanin"/>
              </w:rPr>
              <w:t>CVID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نقائص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مولكولي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در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لنفوسيت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هاي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/>
              </w:rPr>
              <w:t>B</w:t>
            </w:r>
          </w:p>
        </w:tc>
        <w:tc>
          <w:tcPr>
            <w:tcW w:w="705" w:type="pct"/>
          </w:tcPr>
          <w:p w:rsidR="00BB53A1" w:rsidRDefault="00BB53A1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F712CA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>42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/>
                <w:rtl/>
              </w:rPr>
              <w:t xml:space="preserve">نقص ايمني </w:t>
            </w:r>
            <w:r w:rsidRPr="00634ED5">
              <w:rPr>
                <w:rFonts w:asciiTheme="majorBidi" w:hAnsiTheme="majorBidi" w:cs="B Nazanin"/>
              </w:rPr>
              <w:t>T</w:t>
            </w:r>
            <w:r w:rsidRPr="00634ED5">
              <w:rPr>
                <w:rFonts w:asciiTheme="majorBidi" w:hAnsiTheme="majorBidi" w:cs="B Nazanin"/>
                <w:rtl/>
              </w:rPr>
              <w:t xml:space="preserve"> سل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سندرم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دي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جرج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نقص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ايمني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توام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سلولهاي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/>
              </w:rPr>
              <w:t>B</w:t>
            </w:r>
            <w:r w:rsidRPr="00634ED5">
              <w:rPr>
                <w:rFonts w:asciiTheme="majorBidi" w:hAnsiTheme="majorBidi" w:cs="B Nazanin"/>
                <w:rtl/>
              </w:rPr>
              <w:t xml:space="preserve"> و </w:t>
            </w:r>
            <w:r w:rsidRPr="00634ED5">
              <w:rPr>
                <w:rFonts w:asciiTheme="majorBidi" w:hAnsiTheme="majorBidi" w:cs="B Nazanin"/>
              </w:rPr>
              <w:t>T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درمان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انواع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نقص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ايمني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ژن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درماني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درمانهاي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داروئي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نقص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  <w:r w:rsidRPr="00634ED5">
              <w:rPr>
                <w:rFonts w:asciiTheme="majorBidi" w:hAnsiTheme="majorBidi" w:cs="B Nazanin" w:hint="cs"/>
                <w:rtl/>
              </w:rPr>
              <w:t>ايمني</w:t>
            </w:r>
            <w:r w:rsidRPr="00634ED5">
              <w:rPr>
                <w:rFonts w:asciiTheme="majorBidi" w:hAnsiTheme="majorBidi" w:cs="B Nazanin"/>
                <w:rtl/>
              </w:rPr>
              <w:t xml:space="preserve"> </w:t>
            </w:r>
          </w:p>
        </w:tc>
        <w:tc>
          <w:tcPr>
            <w:tcW w:w="705" w:type="pct"/>
          </w:tcPr>
          <w:p w:rsidR="00BB53A1" w:rsidRDefault="00BB53A1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F712CA">
              <w:rPr>
                <w:rFonts w:asciiTheme="majorBidi" w:hAnsiTheme="majorBidi" w:cs="B Nazanin" w:hint="cs"/>
                <w:rtl/>
              </w:rPr>
              <w:t>اسمعیل</w:t>
            </w:r>
          </w:p>
        </w:tc>
      </w:tr>
      <w:tr w:rsidR="00BB53A1" w:rsidRPr="00634ED5" w:rsidTr="00BB53A1">
        <w:trPr>
          <w:trHeight w:val="701"/>
        </w:trPr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43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تعدیل سیستم ایمنی شامل داروهای سرکوبگر ایمنی- ادجوانت های ایمنی </w:t>
            </w:r>
            <w:r w:rsidRPr="00634ED5">
              <w:rPr>
                <w:rFonts w:ascii="Arial" w:hAnsi="Arial" w:cs="Arial" w:hint="cs"/>
                <w:rtl/>
                <w:lang w:bidi="fa-IR"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 محرک های سیستم ایمنی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اسمعیل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44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 xml:space="preserve">ایمنی شناسی پیری- اثرات پیری بر سلول های بنیادین- اثرات پیری در سیستم ایمنی ذاتی و اکتسابی </w:t>
            </w:r>
            <w:r w:rsidRPr="00634ED5">
              <w:rPr>
                <w:rFonts w:ascii="Arial" w:hAnsi="Arial" w:cs="Arial" w:hint="cs"/>
                <w:rtl/>
              </w:rPr>
              <w:t>–</w:t>
            </w:r>
            <w:r w:rsidRPr="00634ED5">
              <w:rPr>
                <w:rFonts w:asciiTheme="majorBidi" w:hAnsiTheme="majorBidi" w:cs="B Nazanin" w:hint="cs"/>
                <w:rtl/>
              </w:rPr>
              <w:t xml:space="preserve"> سالمندی و پاسخ به عوامل عفونی</w:t>
            </w:r>
          </w:p>
        </w:tc>
        <w:tc>
          <w:tcPr>
            <w:tcW w:w="705" w:type="pct"/>
          </w:tcPr>
          <w:p w:rsidR="00BB53A1" w:rsidRDefault="00BB53A1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F712CA">
              <w:rPr>
                <w:rFonts w:asciiTheme="majorBidi" w:hAnsiTheme="majorBidi" w:cs="B Nazanin" w:hint="cs"/>
                <w:rtl/>
              </w:rPr>
              <w:t xml:space="preserve">اسمعیل 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BB53A1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 w:rsidRPr="00634ED5">
              <w:rPr>
                <w:rFonts w:asciiTheme="majorBidi" w:hAnsiTheme="majorBidi" w:cs="B Nazanin" w:hint="cs"/>
                <w:rtl/>
              </w:rPr>
              <w:t>45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34ED5">
              <w:rPr>
                <w:rFonts w:asciiTheme="majorBidi" w:hAnsiTheme="majorBidi" w:cs="B Nazanin" w:hint="cs"/>
                <w:rtl/>
                <w:lang w:bidi="fa-IR"/>
              </w:rPr>
              <w:t xml:space="preserve">ایمنی شناسی اعصاب و روان شامل استرس و تغییرات ایمنی بدن- تاثیر مدیاتورها بر محور </w:t>
            </w:r>
            <w:r w:rsidRPr="00634ED5">
              <w:rPr>
                <w:rFonts w:asciiTheme="majorBidi" w:hAnsiTheme="majorBidi" w:cs="B Nazanin"/>
                <w:lang w:bidi="fa-IR"/>
              </w:rPr>
              <w:t>HPA</w:t>
            </w:r>
            <w:r w:rsidRPr="00634ED5">
              <w:rPr>
                <w:rFonts w:asciiTheme="majorBidi" w:hAnsiTheme="majorBidi" w:cs="B Nazanin" w:hint="cs"/>
                <w:rtl/>
                <w:lang w:bidi="fa-IR"/>
              </w:rPr>
              <w:t>- سیستم روانی و سیستم ایمنی و سیستم عصبی سمپاتیک بر پاسخ های ایمنی</w:t>
            </w:r>
          </w:p>
        </w:tc>
        <w:tc>
          <w:tcPr>
            <w:tcW w:w="705" w:type="pct"/>
          </w:tcPr>
          <w:p w:rsidR="00BB53A1" w:rsidRDefault="00BB53A1" w:rsidP="00F712CA">
            <w:pPr>
              <w:bidi/>
              <w:jc w:val="center"/>
            </w:pPr>
            <w:r w:rsidRPr="00952162">
              <w:rPr>
                <w:rFonts w:asciiTheme="majorBidi" w:hAnsiTheme="majorBidi" w:cs="B Nazanin" w:hint="cs"/>
                <w:rtl/>
              </w:rPr>
              <w:t>دکتر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F712CA">
              <w:rPr>
                <w:rFonts w:asciiTheme="majorBidi" w:hAnsiTheme="majorBidi" w:cs="B Nazanin" w:hint="cs"/>
                <w:rtl/>
              </w:rPr>
              <w:t xml:space="preserve">اسکندری </w:t>
            </w:r>
          </w:p>
        </w:tc>
      </w:tr>
      <w:tr w:rsidR="00BB53A1" w:rsidRPr="00634ED5" w:rsidTr="00BB53A1">
        <w:tc>
          <w:tcPr>
            <w:tcW w:w="268" w:type="pct"/>
          </w:tcPr>
          <w:p w:rsidR="00BB53A1" w:rsidRPr="00634ED5" w:rsidRDefault="005C1822" w:rsidP="00BB53A1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**</w:t>
            </w:r>
          </w:p>
        </w:tc>
        <w:tc>
          <w:tcPr>
            <w:tcW w:w="296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31" w:type="pct"/>
          </w:tcPr>
          <w:p w:rsidR="00BB53A1" w:rsidRPr="00634ED5" w:rsidRDefault="00BB53A1" w:rsidP="00BB53A1">
            <w:pPr>
              <w:bidi/>
              <w:spacing w:line="240" w:lineRule="auto"/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634ED5">
              <w:rPr>
                <w:rFonts w:asciiTheme="majorBidi" w:hAnsiTheme="majorBidi" w:cs="B Nazanin"/>
                <w:b/>
                <w:bCs/>
                <w:rtl/>
              </w:rPr>
              <w:t>آزمون پایان ترم</w:t>
            </w:r>
          </w:p>
        </w:tc>
        <w:tc>
          <w:tcPr>
            <w:tcW w:w="705" w:type="pct"/>
          </w:tcPr>
          <w:p w:rsidR="00BB53A1" w:rsidRDefault="00BB53A1" w:rsidP="00BB53A1">
            <w:pPr>
              <w:bidi/>
              <w:jc w:val="center"/>
            </w:pPr>
          </w:p>
        </w:tc>
      </w:tr>
    </w:tbl>
    <w:p w:rsidR="00A126DB" w:rsidRPr="00634ED5" w:rsidRDefault="00A126DB" w:rsidP="00A126DB">
      <w:pPr>
        <w:bidi/>
        <w:spacing w:line="240" w:lineRule="auto"/>
        <w:jc w:val="both"/>
        <w:rPr>
          <w:rFonts w:asciiTheme="majorBidi" w:hAnsiTheme="majorBidi" w:cs="B Nazanin"/>
          <w:rtl/>
          <w:lang w:bidi="fa-IR"/>
        </w:rPr>
      </w:pPr>
      <w:r w:rsidRPr="00634ED5">
        <w:rPr>
          <w:rFonts w:asciiTheme="majorBidi" w:hAnsiTheme="majorBidi" w:cs="B Nazanin"/>
          <w:b/>
          <w:bCs/>
          <w:rtl/>
          <w:lang w:bidi="fa-IR"/>
        </w:rPr>
        <w:t>نحوه آزمون</w:t>
      </w:r>
      <w:r w:rsidRPr="00634ED5">
        <w:rPr>
          <w:rFonts w:asciiTheme="majorBidi" w:hAnsiTheme="majorBidi" w:cs="B Nazanin"/>
          <w:rtl/>
          <w:lang w:bidi="fa-IR"/>
        </w:rPr>
        <w:t>: از مطالب آموزش داده شده، شامل کتابها و اسلایدهای آموزشی در کلاس درس خواهد بود.</w:t>
      </w:r>
    </w:p>
    <w:p w:rsidR="00741CC3" w:rsidRDefault="00A126DB" w:rsidP="00151E3F">
      <w:pPr>
        <w:bidi/>
        <w:spacing w:line="240" w:lineRule="auto"/>
        <w:jc w:val="both"/>
        <w:rPr>
          <w:rFonts w:asciiTheme="majorBidi" w:hAnsiTheme="majorBidi" w:cs="B Nazanin"/>
          <w:b/>
          <w:bCs/>
          <w:i/>
          <w:iCs/>
          <w:rtl/>
          <w:lang w:bidi="fa-IR"/>
        </w:rPr>
      </w:pPr>
      <w:r w:rsidRPr="00634ED5">
        <w:rPr>
          <w:rFonts w:asciiTheme="majorBidi" w:hAnsiTheme="majorBidi" w:cs="B Nazanin"/>
          <w:b/>
          <w:bCs/>
          <w:i/>
          <w:iCs/>
          <w:rtl/>
          <w:lang w:bidi="fa-IR"/>
        </w:rPr>
        <w:t>** غیبت دانشجو در کلاس درس در نمره نهایی دانشجو موثر خواهد بود.</w:t>
      </w:r>
    </w:p>
    <w:sectPr w:rsidR="00741CC3" w:rsidSect="00634ED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75E0"/>
    <w:multiLevelType w:val="hybridMultilevel"/>
    <w:tmpl w:val="57A6D3E0"/>
    <w:lvl w:ilvl="0" w:tplc="353E0B42">
      <w:start w:val="1"/>
      <w:numFmt w:val="decimal"/>
      <w:lvlText w:val="%1-"/>
      <w:lvlJc w:val="left"/>
      <w:pPr>
        <w:tabs>
          <w:tab w:val="num" w:pos="5895"/>
        </w:tabs>
        <w:ind w:left="5895" w:hanging="49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4569057B"/>
    <w:multiLevelType w:val="hybridMultilevel"/>
    <w:tmpl w:val="63D07DFC"/>
    <w:lvl w:ilvl="0" w:tplc="39DC0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33BB0"/>
    <w:multiLevelType w:val="hybridMultilevel"/>
    <w:tmpl w:val="63D07DFC"/>
    <w:lvl w:ilvl="0" w:tplc="39DC0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66"/>
    <w:rsid w:val="00017DBC"/>
    <w:rsid w:val="00035170"/>
    <w:rsid w:val="00035816"/>
    <w:rsid w:val="00041A2C"/>
    <w:rsid w:val="000A6419"/>
    <w:rsid w:val="000E3AF9"/>
    <w:rsid w:val="000F3762"/>
    <w:rsid w:val="00151E3F"/>
    <w:rsid w:val="00154477"/>
    <w:rsid w:val="00177F56"/>
    <w:rsid w:val="00186731"/>
    <w:rsid w:val="001C3156"/>
    <w:rsid w:val="001F7B8F"/>
    <w:rsid w:val="00201921"/>
    <w:rsid w:val="00247A78"/>
    <w:rsid w:val="00265E95"/>
    <w:rsid w:val="00275D6B"/>
    <w:rsid w:val="00282D2A"/>
    <w:rsid w:val="00297B16"/>
    <w:rsid w:val="002A515A"/>
    <w:rsid w:val="002B3548"/>
    <w:rsid w:val="002B7F37"/>
    <w:rsid w:val="002C5B21"/>
    <w:rsid w:val="002D5E2B"/>
    <w:rsid w:val="00300690"/>
    <w:rsid w:val="00332404"/>
    <w:rsid w:val="003452E6"/>
    <w:rsid w:val="00350CE5"/>
    <w:rsid w:val="003729DB"/>
    <w:rsid w:val="00384D2D"/>
    <w:rsid w:val="00385F66"/>
    <w:rsid w:val="00387687"/>
    <w:rsid w:val="003B09B7"/>
    <w:rsid w:val="003B3B2F"/>
    <w:rsid w:val="00434218"/>
    <w:rsid w:val="004509AD"/>
    <w:rsid w:val="00451F9C"/>
    <w:rsid w:val="00452645"/>
    <w:rsid w:val="00455E79"/>
    <w:rsid w:val="00462B33"/>
    <w:rsid w:val="00462D20"/>
    <w:rsid w:val="00481CE9"/>
    <w:rsid w:val="004B40E0"/>
    <w:rsid w:val="004B77B1"/>
    <w:rsid w:val="004D3956"/>
    <w:rsid w:val="005025AC"/>
    <w:rsid w:val="005647FE"/>
    <w:rsid w:val="00580EBB"/>
    <w:rsid w:val="00586198"/>
    <w:rsid w:val="005A3CD9"/>
    <w:rsid w:val="005C1822"/>
    <w:rsid w:val="005D3938"/>
    <w:rsid w:val="005F277B"/>
    <w:rsid w:val="006024D9"/>
    <w:rsid w:val="006153A7"/>
    <w:rsid w:val="00623245"/>
    <w:rsid w:val="00634ED5"/>
    <w:rsid w:val="006640DF"/>
    <w:rsid w:val="006A13D8"/>
    <w:rsid w:val="006A46DB"/>
    <w:rsid w:val="006B0643"/>
    <w:rsid w:val="006B658E"/>
    <w:rsid w:val="007320B3"/>
    <w:rsid w:val="00741CC3"/>
    <w:rsid w:val="007A30CC"/>
    <w:rsid w:val="007B25F9"/>
    <w:rsid w:val="007B3689"/>
    <w:rsid w:val="007B7EE4"/>
    <w:rsid w:val="007D109D"/>
    <w:rsid w:val="007E6C33"/>
    <w:rsid w:val="0081105A"/>
    <w:rsid w:val="00876431"/>
    <w:rsid w:val="008A3FE3"/>
    <w:rsid w:val="008E0BF2"/>
    <w:rsid w:val="008F5284"/>
    <w:rsid w:val="008F580B"/>
    <w:rsid w:val="008F6C2E"/>
    <w:rsid w:val="009033DC"/>
    <w:rsid w:val="00904741"/>
    <w:rsid w:val="00997855"/>
    <w:rsid w:val="009C5E48"/>
    <w:rsid w:val="009C654F"/>
    <w:rsid w:val="009E3811"/>
    <w:rsid w:val="009F0B62"/>
    <w:rsid w:val="00A04AEF"/>
    <w:rsid w:val="00A126DB"/>
    <w:rsid w:val="00A32E83"/>
    <w:rsid w:val="00A437E0"/>
    <w:rsid w:val="00A832FF"/>
    <w:rsid w:val="00AA2B56"/>
    <w:rsid w:val="00B03264"/>
    <w:rsid w:val="00B75109"/>
    <w:rsid w:val="00B801D6"/>
    <w:rsid w:val="00BB008E"/>
    <w:rsid w:val="00BB455C"/>
    <w:rsid w:val="00BB53A1"/>
    <w:rsid w:val="00BE27C6"/>
    <w:rsid w:val="00BF726A"/>
    <w:rsid w:val="00C5248C"/>
    <w:rsid w:val="00C65032"/>
    <w:rsid w:val="00CE1C97"/>
    <w:rsid w:val="00CF1F14"/>
    <w:rsid w:val="00D13E0C"/>
    <w:rsid w:val="00D50E6D"/>
    <w:rsid w:val="00D75823"/>
    <w:rsid w:val="00DD0A6D"/>
    <w:rsid w:val="00E174DB"/>
    <w:rsid w:val="00E5548E"/>
    <w:rsid w:val="00E837B6"/>
    <w:rsid w:val="00E85A35"/>
    <w:rsid w:val="00E95614"/>
    <w:rsid w:val="00ED3E93"/>
    <w:rsid w:val="00F25D02"/>
    <w:rsid w:val="00F414CF"/>
    <w:rsid w:val="00F508F1"/>
    <w:rsid w:val="00F712CA"/>
    <w:rsid w:val="00F73BCF"/>
    <w:rsid w:val="00F77177"/>
    <w:rsid w:val="00F83C9D"/>
    <w:rsid w:val="00FA5A82"/>
    <w:rsid w:val="00F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F406743-687A-4028-8AD2-D10444A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8C"/>
  </w:style>
  <w:style w:type="paragraph" w:styleId="Heading2">
    <w:name w:val="heading 2"/>
    <w:basedOn w:val="Normal"/>
    <w:next w:val="Normal"/>
    <w:link w:val="Heading2Char"/>
    <w:qFormat/>
    <w:rsid w:val="0081105A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Yagu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7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1105A"/>
    <w:rPr>
      <w:rFonts w:ascii="Times New Roman" w:eastAsia="Times New Roman" w:hAnsi="Times New Roman" w:cs="Yagu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5B21"/>
    <w:pPr>
      <w:ind w:left="720"/>
      <w:contextualSpacing/>
    </w:pPr>
  </w:style>
  <w:style w:type="table" w:styleId="TableGrid">
    <w:name w:val="Table Grid"/>
    <w:basedOn w:val="TableNormal"/>
    <w:uiPriority w:val="59"/>
    <w:rsid w:val="00741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dastyaran</cp:lastModifiedBy>
  <cp:revision>2</cp:revision>
  <cp:lastPrinted>2021-01-30T09:58:00Z</cp:lastPrinted>
  <dcterms:created xsi:type="dcterms:W3CDTF">2021-01-30T09:58:00Z</dcterms:created>
  <dcterms:modified xsi:type="dcterms:W3CDTF">2021-01-30T09:58:00Z</dcterms:modified>
</cp:coreProperties>
</file>